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560BB" w14:textId="77777777" w:rsidR="00E321B9" w:rsidRDefault="000E2C48">
      <w:pPr>
        <w:pStyle w:val="Body"/>
        <w:rPr>
          <w:b/>
          <w:bCs/>
          <w:sz w:val="16"/>
          <w:szCs w:val="16"/>
        </w:rPr>
      </w:pPr>
      <w:r>
        <w:rPr>
          <w:b/>
          <w:bCs/>
          <w:noProof/>
          <w:sz w:val="16"/>
          <w:szCs w:val="16"/>
          <w:lang w:val="en-US"/>
        </w:rPr>
        <w:drawing>
          <wp:anchor distT="152400" distB="152400" distL="152400" distR="152400" simplePos="0" relativeHeight="251659264" behindDoc="0" locked="0" layoutInCell="1" allowOverlap="1" wp14:anchorId="16CB469E" wp14:editId="0F60CE94">
            <wp:simplePos x="0" y="0"/>
            <wp:positionH relativeFrom="margin">
              <wp:posOffset>-6349</wp:posOffset>
            </wp:positionH>
            <wp:positionV relativeFrom="line">
              <wp:posOffset>96519</wp:posOffset>
            </wp:positionV>
            <wp:extent cx="1294915" cy="85379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hoalgames-logo.png"/>
                    <pic:cNvPicPr/>
                  </pic:nvPicPr>
                  <pic:blipFill>
                    <a:blip r:embed="rId7">
                      <a:extLst/>
                    </a:blip>
                    <a:stretch>
                      <a:fillRect/>
                    </a:stretch>
                  </pic:blipFill>
                  <pic:spPr>
                    <a:xfrm>
                      <a:off x="0" y="0"/>
                      <a:ext cx="1294915" cy="853790"/>
                    </a:xfrm>
                    <a:prstGeom prst="rect">
                      <a:avLst/>
                    </a:prstGeom>
                    <a:ln w="12700" cap="flat">
                      <a:noFill/>
                      <a:miter lim="400000"/>
                    </a:ln>
                    <a:effectLst/>
                  </pic:spPr>
                </pic:pic>
              </a:graphicData>
            </a:graphic>
          </wp:anchor>
        </w:drawing>
      </w:r>
      <w:r>
        <w:rPr>
          <w:b/>
          <w:bCs/>
          <w:sz w:val="16"/>
          <w:szCs w:val="16"/>
        </w:rPr>
        <w:t>Shoal Games Ltd.</w:t>
      </w:r>
    </w:p>
    <w:p w14:paraId="309CE743" w14:textId="77777777" w:rsidR="00E321B9" w:rsidRDefault="000E2C48">
      <w:pPr>
        <w:pStyle w:val="Body"/>
        <w:rPr>
          <w:sz w:val="16"/>
          <w:szCs w:val="16"/>
        </w:rPr>
      </w:pPr>
      <w:proofErr w:type="spellStart"/>
      <w:r>
        <w:rPr>
          <w:sz w:val="16"/>
          <w:szCs w:val="16"/>
          <w:lang w:val="en-US"/>
        </w:rPr>
        <w:t>Hansa</w:t>
      </w:r>
      <w:proofErr w:type="spellEnd"/>
      <w:r>
        <w:rPr>
          <w:sz w:val="16"/>
          <w:szCs w:val="16"/>
          <w:lang w:val="en-US"/>
        </w:rPr>
        <w:t xml:space="preserve"> Bank Building, Ground Floor </w:t>
      </w:r>
    </w:p>
    <w:p w14:paraId="0E60BC9A" w14:textId="77777777" w:rsidR="00E321B9" w:rsidRDefault="000E2C48">
      <w:pPr>
        <w:pStyle w:val="Body"/>
        <w:rPr>
          <w:sz w:val="16"/>
          <w:szCs w:val="16"/>
        </w:rPr>
      </w:pPr>
      <w:proofErr w:type="spellStart"/>
      <w:r>
        <w:rPr>
          <w:sz w:val="16"/>
          <w:szCs w:val="16"/>
          <w:lang w:val="en-US"/>
        </w:rPr>
        <w:t>Landsome</w:t>
      </w:r>
      <w:proofErr w:type="spellEnd"/>
      <w:r>
        <w:rPr>
          <w:sz w:val="16"/>
          <w:szCs w:val="16"/>
          <w:lang w:val="en-US"/>
        </w:rPr>
        <w:t xml:space="preserve"> Road, The Valley</w:t>
      </w:r>
    </w:p>
    <w:p w14:paraId="30300975" w14:textId="77777777" w:rsidR="00E321B9" w:rsidRDefault="000E2C48">
      <w:pPr>
        <w:pStyle w:val="Body"/>
        <w:rPr>
          <w:sz w:val="16"/>
          <w:szCs w:val="16"/>
        </w:rPr>
      </w:pPr>
      <w:r>
        <w:rPr>
          <w:sz w:val="16"/>
          <w:szCs w:val="16"/>
        </w:rPr>
        <w:t>AI 2640, Anguilla, BWI</w:t>
      </w:r>
    </w:p>
    <w:p w14:paraId="3DE7991B" w14:textId="77777777" w:rsidR="00E321B9" w:rsidRDefault="000E2C48">
      <w:pPr>
        <w:pStyle w:val="Body"/>
        <w:rPr>
          <w:sz w:val="16"/>
          <w:szCs w:val="16"/>
          <w:lang w:val="sv-SE"/>
        </w:rPr>
      </w:pPr>
      <w:proofErr w:type="spellStart"/>
      <w:r>
        <w:rPr>
          <w:sz w:val="16"/>
          <w:szCs w:val="16"/>
          <w:lang w:val="sv-SE"/>
        </w:rPr>
        <w:t>Ph</w:t>
      </w:r>
      <w:proofErr w:type="spellEnd"/>
      <w:r>
        <w:rPr>
          <w:sz w:val="16"/>
          <w:szCs w:val="16"/>
          <w:lang w:val="sv-SE"/>
        </w:rPr>
        <w:t>: +1 264 461-2646</w:t>
      </w:r>
    </w:p>
    <w:p w14:paraId="78E98536" w14:textId="77777777" w:rsidR="00E321B9" w:rsidRDefault="000E2C48">
      <w:pPr>
        <w:pStyle w:val="Body"/>
        <w:rPr>
          <w:sz w:val="16"/>
          <w:szCs w:val="16"/>
        </w:rPr>
      </w:pPr>
      <w:r>
        <w:rPr>
          <w:sz w:val="16"/>
          <w:szCs w:val="16"/>
        </w:rPr>
        <w:t>Fax: +1 264-498-3805</w:t>
      </w:r>
    </w:p>
    <w:p w14:paraId="31A851BE" w14:textId="77777777" w:rsidR="00E321B9" w:rsidRDefault="00E321B9">
      <w:pPr>
        <w:pStyle w:val="Body"/>
        <w:rPr>
          <w:sz w:val="16"/>
          <w:szCs w:val="16"/>
        </w:rPr>
      </w:pPr>
    </w:p>
    <w:p w14:paraId="7B7235ED" w14:textId="77777777" w:rsidR="006A0ABC" w:rsidRDefault="000E2C48">
      <w:pPr>
        <w:pStyle w:val="Heading2"/>
        <w:rPr>
          <w:sz w:val="32"/>
          <w:szCs w:val="32"/>
        </w:rPr>
      </w:pPr>
      <w:r>
        <w:rPr>
          <w:sz w:val="32"/>
          <w:szCs w:val="32"/>
        </w:rPr>
        <w:t>Bingo.com</w:t>
      </w:r>
      <w:r w:rsidR="00466DE8">
        <w:rPr>
          <w:sz w:val="32"/>
          <w:szCs w:val="32"/>
        </w:rPr>
        <w:t>, Ltd. C</w:t>
      </w:r>
      <w:r>
        <w:rPr>
          <w:sz w:val="32"/>
          <w:szCs w:val="32"/>
        </w:rPr>
        <w:t xml:space="preserve">ompletes </w:t>
      </w:r>
      <w:r w:rsidR="00466DE8">
        <w:rPr>
          <w:sz w:val="32"/>
          <w:szCs w:val="32"/>
        </w:rPr>
        <w:t xml:space="preserve">its </w:t>
      </w:r>
      <w:r>
        <w:rPr>
          <w:sz w:val="32"/>
          <w:szCs w:val="32"/>
        </w:rPr>
        <w:t xml:space="preserve">name </w:t>
      </w:r>
      <w:r w:rsidR="00466DE8">
        <w:rPr>
          <w:sz w:val="32"/>
          <w:szCs w:val="32"/>
        </w:rPr>
        <w:t xml:space="preserve">and Symbol </w:t>
      </w:r>
      <w:r>
        <w:rPr>
          <w:sz w:val="32"/>
          <w:szCs w:val="32"/>
        </w:rPr>
        <w:t xml:space="preserve">change to </w:t>
      </w:r>
    </w:p>
    <w:p w14:paraId="2154B9DF" w14:textId="678BBCE8" w:rsidR="00E321B9" w:rsidRDefault="000E2C48">
      <w:pPr>
        <w:pStyle w:val="Heading2"/>
        <w:rPr>
          <w:sz w:val="32"/>
          <w:szCs w:val="32"/>
        </w:rPr>
      </w:pPr>
      <w:r>
        <w:rPr>
          <w:sz w:val="32"/>
          <w:szCs w:val="32"/>
        </w:rPr>
        <w:t>Shoal Games Ltd</w:t>
      </w:r>
      <w:r w:rsidR="00466DE8">
        <w:rPr>
          <w:sz w:val="32"/>
          <w:szCs w:val="32"/>
        </w:rPr>
        <w:t>.</w:t>
      </w:r>
      <w:r>
        <w:rPr>
          <w:sz w:val="32"/>
          <w:szCs w:val="32"/>
        </w:rPr>
        <w:t xml:space="preserve"> and </w:t>
      </w:r>
      <w:r w:rsidR="00466DE8">
        <w:rPr>
          <w:sz w:val="32"/>
          <w:szCs w:val="32"/>
        </w:rPr>
        <w:t>SGLDF</w:t>
      </w:r>
    </w:p>
    <w:p w14:paraId="4A6B5D4E" w14:textId="77777777" w:rsidR="00E321B9" w:rsidRDefault="000E2C48" w:rsidP="00466DE8">
      <w:pPr>
        <w:pStyle w:val="Body"/>
        <w:jc w:val="both"/>
        <w:rPr>
          <w:sz w:val="22"/>
          <w:szCs w:val="22"/>
        </w:rPr>
      </w:pPr>
      <w:r>
        <w:rPr>
          <w:sz w:val="22"/>
          <w:szCs w:val="22"/>
          <w:lang w:val="en-US"/>
        </w:rPr>
        <w:t>ANGUILLA, B.W.I., January 26, 2015 / Shoal Games Ltd. (OTCQB: SGLDF) (</w:t>
      </w:r>
      <w:r>
        <w:rPr>
          <w:rFonts w:hAnsi="Times New Roman"/>
          <w:sz w:val="22"/>
          <w:szCs w:val="22"/>
        </w:rPr>
        <w:t>“</w:t>
      </w:r>
      <w:r>
        <w:rPr>
          <w:sz w:val="22"/>
          <w:szCs w:val="22"/>
          <w:lang w:val="en-US"/>
        </w:rPr>
        <w:t>the Company</w:t>
      </w:r>
      <w:r>
        <w:rPr>
          <w:rFonts w:hAnsi="Times New Roman"/>
          <w:sz w:val="22"/>
          <w:szCs w:val="22"/>
        </w:rPr>
        <w:t>”</w:t>
      </w:r>
      <w:r>
        <w:rPr>
          <w:sz w:val="22"/>
          <w:szCs w:val="22"/>
          <w:lang w:val="en-US"/>
        </w:rPr>
        <w:t xml:space="preserve">), owner of Trophy Bingo, an innovative, non-gambling, social bingo product, </w:t>
      </w:r>
      <w:hyperlink r:id="rId8" w:history="1">
        <w:r>
          <w:rPr>
            <w:rStyle w:val="Hyperlink0"/>
          </w:rPr>
          <w:t>http://www.trophybingo.com</w:t>
        </w:r>
      </w:hyperlink>
      <w:r>
        <w:rPr>
          <w:sz w:val="22"/>
          <w:szCs w:val="22"/>
          <w:lang w:val="en-US"/>
        </w:rPr>
        <w:t xml:space="preserve">, today announced it has changed its name to </w:t>
      </w:r>
      <w:r>
        <w:rPr>
          <w:rFonts w:hAnsi="Times New Roman"/>
          <w:sz w:val="22"/>
          <w:szCs w:val="22"/>
        </w:rPr>
        <w:t>“</w:t>
      </w:r>
      <w:r>
        <w:rPr>
          <w:sz w:val="22"/>
          <w:szCs w:val="22"/>
        </w:rPr>
        <w:t>Shoal Games Ltd.</w:t>
      </w:r>
      <w:r>
        <w:rPr>
          <w:rFonts w:hAnsi="Times New Roman"/>
          <w:sz w:val="22"/>
          <w:szCs w:val="22"/>
        </w:rPr>
        <w:t xml:space="preserve">” </w:t>
      </w:r>
      <w:r>
        <w:rPr>
          <w:sz w:val="22"/>
          <w:szCs w:val="22"/>
          <w:lang w:val="en-US"/>
        </w:rPr>
        <w:t>effective January 22, 2015.  The Company</w:t>
      </w:r>
      <w:r>
        <w:rPr>
          <w:rFonts w:hAnsi="Times New Roman"/>
          <w:sz w:val="22"/>
          <w:szCs w:val="22"/>
          <w:lang w:val="fr-FR"/>
        </w:rPr>
        <w:t>’</w:t>
      </w:r>
      <w:r>
        <w:rPr>
          <w:sz w:val="22"/>
          <w:szCs w:val="22"/>
          <w:lang w:val="en-US"/>
        </w:rPr>
        <w:t xml:space="preserve">s new trading symbol on the OTCQB is </w:t>
      </w:r>
      <w:r>
        <w:rPr>
          <w:rFonts w:hAnsi="Times New Roman"/>
          <w:sz w:val="22"/>
          <w:szCs w:val="22"/>
        </w:rPr>
        <w:t>“</w:t>
      </w:r>
      <w:r>
        <w:rPr>
          <w:sz w:val="22"/>
          <w:szCs w:val="22"/>
        </w:rPr>
        <w:t>SGLDF</w:t>
      </w:r>
      <w:r>
        <w:rPr>
          <w:rFonts w:hAnsi="Times New Roman"/>
          <w:sz w:val="22"/>
          <w:szCs w:val="22"/>
        </w:rPr>
        <w:t xml:space="preserve">” </w:t>
      </w:r>
      <w:r>
        <w:rPr>
          <w:sz w:val="22"/>
          <w:szCs w:val="22"/>
          <w:lang w:val="en-US"/>
        </w:rPr>
        <w:t>effective at the open of business on January 27, 2015.  The Company</w:t>
      </w:r>
      <w:r>
        <w:rPr>
          <w:rFonts w:hAnsi="Times New Roman"/>
          <w:sz w:val="22"/>
          <w:szCs w:val="22"/>
          <w:lang w:val="fr-FR"/>
        </w:rPr>
        <w:t>’</w:t>
      </w:r>
      <w:r>
        <w:rPr>
          <w:sz w:val="22"/>
          <w:szCs w:val="22"/>
          <w:lang w:val="en-US"/>
        </w:rPr>
        <w:t>s new CUSIP number is G8111D103.</w:t>
      </w:r>
    </w:p>
    <w:p w14:paraId="13E74325" w14:textId="77777777" w:rsidR="00E321B9" w:rsidRDefault="00E321B9" w:rsidP="00466DE8">
      <w:pPr>
        <w:pStyle w:val="Body"/>
        <w:jc w:val="both"/>
        <w:rPr>
          <w:sz w:val="22"/>
          <w:szCs w:val="22"/>
        </w:rPr>
      </w:pPr>
    </w:p>
    <w:p w14:paraId="2A0792B2" w14:textId="77777777" w:rsidR="000E2C48" w:rsidRPr="000E2C48" w:rsidRDefault="000E2C48" w:rsidP="00466DE8">
      <w:pPr>
        <w:pStyle w:val="Body"/>
        <w:jc w:val="both"/>
        <w:rPr>
          <w:sz w:val="22"/>
          <w:szCs w:val="22"/>
        </w:rPr>
      </w:pPr>
      <w:r w:rsidRPr="000E2C48">
        <w:rPr>
          <w:sz w:val="22"/>
          <w:szCs w:val="22"/>
        </w:rPr>
        <w:t xml:space="preserve">The Company also announces that Ms. </w:t>
      </w:r>
      <w:proofErr w:type="spellStart"/>
      <w:r w:rsidRPr="000E2C48">
        <w:rPr>
          <w:sz w:val="22"/>
          <w:szCs w:val="22"/>
        </w:rPr>
        <w:t>Ebba</w:t>
      </w:r>
      <w:proofErr w:type="spellEnd"/>
      <w:r w:rsidRPr="000E2C48">
        <w:rPr>
          <w:sz w:val="22"/>
          <w:szCs w:val="22"/>
        </w:rPr>
        <w:t xml:space="preserve"> </w:t>
      </w:r>
      <w:proofErr w:type="spellStart"/>
      <w:r w:rsidRPr="000E2C48">
        <w:rPr>
          <w:sz w:val="22"/>
          <w:szCs w:val="22"/>
        </w:rPr>
        <w:t>Ljungerud</w:t>
      </w:r>
      <w:proofErr w:type="spellEnd"/>
      <w:r w:rsidR="00466DE8">
        <w:rPr>
          <w:sz w:val="22"/>
          <w:szCs w:val="22"/>
        </w:rPr>
        <w:t>, the board representative for Unibet Group, plc has resigned as a director of the Company effective today.</w:t>
      </w:r>
    </w:p>
    <w:p w14:paraId="7F938F9A" w14:textId="77777777" w:rsidR="000E2C48" w:rsidRDefault="000E2C48" w:rsidP="00466DE8">
      <w:pPr>
        <w:pStyle w:val="Body"/>
        <w:jc w:val="both"/>
        <w:rPr>
          <w:sz w:val="22"/>
          <w:szCs w:val="22"/>
        </w:rPr>
      </w:pPr>
    </w:p>
    <w:p w14:paraId="5AF8F816" w14:textId="77777777" w:rsidR="00466DE8" w:rsidRDefault="00466DE8" w:rsidP="00466DE8">
      <w:pPr>
        <w:jc w:val="both"/>
        <w:rPr>
          <w:sz w:val="22"/>
          <w:szCs w:val="22"/>
        </w:rPr>
      </w:pPr>
      <w:r>
        <w:rPr>
          <w:sz w:val="22"/>
          <w:szCs w:val="22"/>
        </w:rPr>
        <w:t xml:space="preserve">“We are pleased to have completed this step of our corporate reorganization and wish to thank Ms. </w:t>
      </w:r>
      <w:proofErr w:type="spellStart"/>
      <w:r>
        <w:rPr>
          <w:sz w:val="22"/>
          <w:szCs w:val="22"/>
        </w:rPr>
        <w:t>Ljungerud</w:t>
      </w:r>
      <w:proofErr w:type="spellEnd"/>
      <w:r>
        <w:rPr>
          <w:sz w:val="22"/>
          <w:szCs w:val="22"/>
        </w:rPr>
        <w:t xml:space="preserve"> for her contribution to </w:t>
      </w:r>
      <w:r w:rsidR="00941D42">
        <w:rPr>
          <w:sz w:val="22"/>
          <w:szCs w:val="22"/>
        </w:rPr>
        <w:t xml:space="preserve">the previous phase of </w:t>
      </w:r>
      <w:r>
        <w:rPr>
          <w:sz w:val="22"/>
          <w:szCs w:val="22"/>
        </w:rPr>
        <w:t>the Company</w:t>
      </w:r>
      <w:r w:rsidR="00941D42">
        <w:rPr>
          <w:sz w:val="22"/>
          <w:szCs w:val="22"/>
        </w:rPr>
        <w:t>’s development</w:t>
      </w:r>
      <w:r w:rsidR="00701EEE">
        <w:rPr>
          <w:sz w:val="22"/>
          <w:szCs w:val="22"/>
        </w:rPr>
        <w:t>.”</w:t>
      </w:r>
      <w:r>
        <w:rPr>
          <w:sz w:val="22"/>
          <w:szCs w:val="22"/>
        </w:rPr>
        <w:t xml:space="preserve"> said Jason Williams, Shoal Games</w:t>
      </w:r>
      <w:r w:rsidR="00701EEE">
        <w:rPr>
          <w:sz w:val="22"/>
          <w:szCs w:val="22"/>
        </w:rPr>
        <w:t xml:space="preserve"> Ltd.’s CEO.</w:t>
      </w:r>
      <w:r w:rsidR="0076137D">
        <w:rPr>
          <w:sz w:val="22"/>
          <w:szCs w:val="22"/>
        </w:rPr>
        <w:t xml:space="preserve"> “</w:t>
      </w:r>
      <w:r w:rsidR="0076137D" w:rsidRPr="0076137D">
        <w:rPr>
          <w:sz w:val="22"/>
          <w:szCs w:val="22"/>
        </w:rPr>
        <w:t>We will be making further announcements in the coming weeks</w:t>
      </w:r>
      <w:r w:rsidR="00941D42">
        <w:rPr>
          <w:sz w:val="22"/>
          <w:szCs w:val="22"/>
        </w:rPr>
        <w:t xml:space="preserve"> as we continue through the current transition </w:t>
      </w:r>
      <w:r w:rsidR="0076137D" w:rsidRPr="0076137D">
        <w:rPr>
          <w:sz w:val="22"/>
          <w:szCs w:val="22"/>
        </w:rPr>
        <w:t>of our business.</w:t>
      </w:r>
      <w:r w:rsidR="0076137D">
        <w:rPr>
          <w:sz w:val="22"/>
          <w:szCs w:val="22"/>
        </w:rPr>
        <w:t>”</w:t>
      </w:r>
    </w:p>
    <w:p w14:paraId="1C5248A0" w14:textId="77777777" w:rsidR="00466DE8" w:rsidRDefault="00466DE8" w:rsidP="00466DE8">
      <w:pPr>
        <w:pStyle w:val="Body"/>
        <w:jc w:val="both"/>
        <w:rPr>
          <w:sz w:val="22"/>
          <w:szCs w:val="22"/>
        </w:rPr>
      </w:pPr>
    </w:p>
    <w:p w14:paraId="1BB8D36E" w14:textId="77777777" w:rsidR="00E321B9" w:rsidRDefault="000E2C48" w:rsidP="00466DE8">
      <w:pPr>
        <w:pStyle w:val="Body"/>
        <w:jc w:val="both"/>
      </w:pPr>
      <w:r>
        <w:rPr>
          <w:lang w:val="en-US"/>
        </w:rPr>
        <w:t>For full details of the Company's operations and financial results, please refer to the Securities and Exchange Commission website at www.sec.gov or the Shoal Games Ltd. corporate website at http://investor.shoalgames.com</w:t>
      </w:r>
    </w:p>
    <w:p w14:paraId="1C93EA5F" w14:textId="77777777" w:rsidR="00E321B9" w:rsidRDefault="00E321B9">
      <w:pPr>
        <w:pStyle w:val="Body"/>
        <w:jc w:val="both"/>
      </w:pPr>
    </w:p>
    <w:p w14:paraId="7192F5F5" w14:textId="77777777" w:rsidR="00E321B9" w:rsidRDefault="006E16BB">
      <w:pPr>
        <w:pStyle w:val="Body"/>
        <w:rPr>
          <w:b/>
          <w:bCs/>
          <w:sz w:val="20"/>
          <w:szCs w:val="20"/>
          <w:shd w:val="clear" w:color="auto" w:fill="FFFF00"/>
        </w:rPr>
      </w:pPr>
      <w:r>
        <w:rPr>
          <w:b/>
          <w:bCs/>
          <w:sz w:val="20"/>
          <w:szCs w:val="20"/>
          <w:lang w:val="en-US"/>
        </w:rPr>
        <w:t xml:space="preserve">About </w:t>
      </w:r>
      <w:r w:rsidR="000E2C48">
        <w:rPr>
          <w:b/>
          <w:bCs/>
          <w:sz w:val="20"/>
          <w:szCs w:val="20"/>
          <w:lang w:val="en-US"/>
        </w:rPr>
        <w:t>Shoal Games Ltd</w:t>
      </w:r>
      <w:r>
        <w:rPr>
          <w:b/>
          <w:bCs/>
          <w:sz w:val="20"/>
          <w:szCs w:val="20"/>
          <w:lang w:val="en-US"/>
        </w:rPr>
        <w:t>.</w:t>
      </w:r>
      <w:r w:rsidR="00466DE8">
        <w:rPr>
          <w:b/>
          <w:bCs/>
          <w:sz w:val="20"/>
          <w:szCs w:val="20"/>
          <w:lang w:val="en-US"/>
        </w:rPr>
        <w:t xml:space="preserve"> </w:t>
      </w:r>
      <w:r w:rsidR="00466DE8">
        <w:rPr>
          <w:b/>
          <w:sz w:val="20"/>
        </w:rPr>
        <w:t>(formerly Bingo.com, Ltd.)</w:t>
      </w:r>
    </w:p>
    <w:p w14:paraId="2DF2A1BB" w14:textId="77777777" w:rsidR="00E321B9" w:rsidRDefault="000E2C48">
      <w:pPr>
        <w:pStyle w:val="Body"/>
        <w:jc w:val="both"/>
        <w:rPr>
          <w:sz w:val="18"/>
          <w:szCs w:val="18"/>
        </w:rPr>
      </w:pPr>
      <w:r>
        <w:rPr>
          <w:sz w:val="18"/>
          <w:szCs w:val="18"/>
          <w:lang w:val="en-US"/>
        </w:rPr>
        <w:t xml:space="preserve">Shoal Games Ltd. (OTCQB: SGLDF) is the parent company of the group of companies, which owns Trophy Bingo, an innovative, non-gambling social bingo game, live in the Google Play Store and the Apple App Store.   Trophy Bingo is a puppy themed bingo adventure where players must win their way through 120 levels of bingo challenges.  The game is free to download and supports in-app purchases for players who find themselves in need of extra bingos or want to engage with the premium power plays contained in the game.  Shoal Games Ltd. (OTCQB: SGLDF) trades on the OTCQB, the venture marketplace for companies </w:t>
      </w:r>
      <w:proofErr w:type="gramStart"/>
      <w:r>
        <w:rPr>
          <w:sz w:val="18"/>
          <w:szCs w:val="18"/>
          <w:lang w:val="en-US"/>
        </w:rPr>
        <w:t>that are</w:t>
      </w:r>
      <w:proofErr w:type="gramEnd"/>
      <w:r>
        <w:rPr>
          <w:sz w:val="18"/>
          <w:szCs w:val="18"/>
          <w:lang w:val="en-US"/>
        </w:rPr>
        <w:t xml:space="preserve"> current in their reporting with the U.S. regulator.  Investors can find real time quotes and market information for the Company at </w:t>
      </w:r>
      <w:hyperlink r:id="rId9" w:history="1">
        <w:r>
          <w:rPr>
            <w:rStyle w:val="Hyperlink1"/>
            <w:lang w:val="en-US"/>
          </w:rPr>
          <w:t>http://www.otcmarkets.com/stock/BNGOF/quote</w:t>
        </w:r>
      </w:hyperlink>
      <w:r>
        <w:rPr>
          <w:sz w:val="18"/>
          <w:szCs w:val="18"/>
        </w:rPr>
        <w:t>.</w:t>
      </w:r>
    </w:p>
    <w:p w14:paraId="503341CC" w14:textId="77777777" w:rsidR="00E321B9" w:rsidRDefault="00E321B9">
      <w:pPr>
        <w:pStyle w:val="BodyText2"/>
        <w:jc w:val="both"/>
        <w:rPr>
          <w:sz w:val="16"/>
          <w:szCs w:val="16"/>
        </w:rPr>
      </w:pPr>
    </w:p>
    <w:p w14:paraId="59701828" w14:textId="77777777" w:rsidR="00E321B9" w:rsidRDefault="000E2C48">
      <w:pPr>
        <w:pStyle w:val="BodyText2"/>
        <w:jc w:val="both"/>
        <w:rPr>
          <w:sz w:val="16"/>
          <w:szCs w:val="16"/>
        </w:rPr>
      </w:pPr>
      <w:r>
        <w:rPr>
          <w:sz w:val="16"/>
          <w:szCs w:val="16"/>
        </w:rPr>
        <w:t xml:space="preserve">The Private Securities Litigation Reform Act of 1995 provides a “safe harbor” for forward-looking statements.  Certain information included in this press release (as well as information included in oral statements or other written statements made or to be made by the company) contains statements that are forward-looking, such as statements relating to </w:t>
      </w:r>
      <w:proofErr w:type="gramStart"/>
      <w:r>
        <w:rPr>
          <w:sz w:val="16"/>
          <w:szCs w:val="16"/>
        </w:rPr>
        <w:t>anticipated</w:t>
      </w:r>
      <w:proofErr w:type="gramEnd"/>
      <w:r>
        <w:rPr>
          <w:sz w:val="16"/>
          <w:szCs w:val="16"/>
        </w:rPr>
        <w:t xml:space="preserve"> future success of the company.  Such forward-looking information involves important risks and uncertainties that could significantly affect anticipated results in the future and, accordingly, such results may differ materially from those expressed in any forward-looking statements made by or on behalf of the company.  For a description of additional risks and uncertainties, please refer to the company’s filings with the Securities and Exchange Commission.  Specifically, readers should read the Company’s Annual Report on Form 10-K, filed with the SEC on March 25, 2014, and the prospectus filed under Rule 424(b) of the Securities Act on March 9, 2005 and the SB2 filed July 17, 2007, for a more thorough discussion of the Company’s financial position and results of operations, together with a detailed discussion of the risk factors involved in an investment in Shoal Games Ltd.</w:t>
      </w:r>
    </w:p>
    <w:p w14:paraId="3C5BA9B2" w14:textId="77777777" w:rsidR="00E321B9" w:rsidRDefault="00E321B9">
      <w:pPr>
        <w:pStyle w:val="BodyText2"/>
        <w:rPr>
          <w:sz w:val="12"/>
          <w:szCs w:val="12"/>
        </w:rPr>
      </w:pPr>
    </w:p>
    <w:p w14:paraId="2389F279" w14:textId="77777777" w:rsidR="00E321B9" w:rsidRDefault="00E321B9">
      <w:pPr>
        <w:pStyle w:val="BodyText2"/>
        <w:rPr>
          <w:sz w:val="12"/>
          <w:szCs w:val="12"/>
        </w:rPr>
      </w:pPr>
    </w:p>
    <w:p w14:paraId="7E27D981" w14:textId="77777777" w:rsidR="00E321B9" w:rsidRDefault="000E2C48">
      <w:pPr>
        <w:pStyle w:val="BodyText2"/>
      </w:pPr>
      <w:r>
        <w:rPr>
          <w:rFonts w:eastAsia="Arial Unicode MS" w:hAnsi="Arial Unicode MS" w:cs="Arial Unicode MS"/>
        </w:rPr>
        <w:t>For more information contact:</w:t>
      </w:r>
    </w:p>
    <w:p w14:paraId="59D029FD" w14:textId="77777777" w:rsidR="00E321B9" w:rsidRDefault="000E2C48">
      <w:pPr>
        <w:pStyle w:val="BodyText2"/>
      </w:pPr>
      <w:r>
        <w:rPr>
          <w:rFonts w:eastAsia="Arial Unicode MS" w:hAnsi="Arial Unicode MS" w:cs="Arial Unicode MS"/>
        </w:rPr>
        <w:t>Henry Bromley</w:t>
      </w:r>
    </w:p>
    <w:p w14:paraId="21E7C021" w14:textId="77777777" w:rsidR="00E321B9" w:rsidRDefault="000E2C48">
      <w:pPr>
        <w:pStyle w:val="BodyText2"/>
      </w:pPr>
      <w:r>
        <w:rPr>
          <w:rFonts w:eastAsia="Arial Unicode MS" w:hAnsi="Arial Unicode MS" w:cs="Arial Unicode MS"/>
        </w:rPr>
        <w:t>CFO</w:t>
      </w:r>
    </w:p>
    <w:p w14:paraId="52C27712" w14:textId="77777777" w:rsidR="00E321B9" w:rsidRDefault="000B27B2">
      <w:pPr>
        <w:pStyle w:val="BodyText2"/>
      </w:pPr>
      <w:hyperlink r:id="rId10" w:history="1">
        <w:r w:rsidR="000E2C48">
          <w:rPr>
            <w:rStyle w:val="Hyperlink2"/>
            <w:rFonts w:eastAsia="Arial Unicode MS" w:hAnsi="Arial Unicode MS" w:cs="Arial Unicode MS"/>
          </w:rPr>
          <w:t>ir@shoalgames.com</w:t>
        </w:r>
      </w:hyperlink>
    </w:p>
    <w:p w14:paraId="095ED984" w14:textId="513D74C9" w:rsidR="00E321B9" w:rsidRDefault="000E2C48" w:rsidP="006A055D">
      <w:pPr>
        <w:pStyle w:val="BodyText2"/>
      </w:pPr>
      <w:r>
        <w:rPr>
          <w:rFonts w:eastAsia="Arial Unicode MS" w:hAnsi="Arial Unicode MS" w:cs="Arial Unicode MS"/>
        </w:rPr>
        <w:t>(</w:t>
      </w:r>
      <w:r w:rsidR="00BE701E" w:rsidRPr="00BE701E">
        <w:rPr>
          <w:rFonts w:eastAsia="Arial Unicode MS" w:hAnsi="Arial Unicode MS" w:cs="Arial Unicode MS"/>
        </w:rPr>
        <w:t>888</w:t>
      </w:r>
      <w:r w:rsidR="00BE701E">
        <w:rPr>
          <w:rFonts w:eastAsia="Arial Unicode MS" w:hAnsi="Arial Unicode MS" w:cs="Arial Unicode MS"/>
        </w:rPr>
        <w:t xml:space="preserve">) </w:t>
      </w:r>
      <w:r w:rsidR="00BE701E" w:rsidRPr="00BE701E">
        <w:rPr>
          <w:rFonts w:eastAsia="Arial Unicode MS" w:hAnsi="Arial Unicode MS" w:cs="Arial Unicode MS"/>
        </w:rPr>
        <w:t>374</w:t>
      </w:r>
      <w:r w:rsidR="00BE701E">
        <w:rPr>
          <w:rFonts w:eastAsia="Arial Unicode MS" w:hAnsi="Arial Unicode MS" w:cs="Arial Unicode MS"/>
        </w:rPr>
        <w:t>-</w:t>
      </w:r>
      <w:r w:rsidR="00BE701E" w:rsidRPr="00BE701E">
        <w:rPr>
          <w:rFonts w:eastAsia="Arial Unicode MS" w:hAnsi="Arial Unicode MS" w:cs="Arial Unicode MS"/>
        </w:rPr>
        <w:t>2</w:t>
      </w:r>
      <w:bookmarkStart w:id="0" w:name="_GoBack"/>
      <w:bookmarkEnd w:id="0"/>
      <w:r w:rsidR="00BE701E" w:rsidRPr="00BE701E">
        <w:rPr>
          <w:rFonts w:eastAsia="Arial Unicode MS" w:hAnsi="Arial Unicode MS" w:cs="Arial Unicode MS"/>
        </w:rPr>
        <w:t>163</w:t>
      </w:r>
    </w:p>
    <w:sectPr w:rsidR="00E321B9">
      <w:headerReference w:type="default" r:id="rId11"/>
      <w:footerReference w:type="default" r:id="rId12"/>
      <w:pgSz w:w="12240" w:h="15840"/>
      <w:pgMar w:top="720" w:right="1041" w:bottom="1080" w:left="1800" w:header="720" w:footer="82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EEEC2" w14:textId="77777777" w:rsidR="000B27B2" w:rsidRDefault="000B27B2">
      <w:r>
        <w:separator/>
      </w:r>
    </w:p>
  </w:endnote>
  <w:endnote w:type="continuationSeparator" w:id="0">
    <w:p w14:paraId="20799217" w14:textId="77777777" w:rsidR="000B27B2" w:rsidRDefault="000B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4D432" w14:textId="77777777" w:rsidR="000B27B2" w:rsidRDefault="000B27B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1B991" w14:textId="77777777" w:rsidR="000B27B2" w:rsidRDefault="000B27B2">
      <w:r>
        <w:separator/>
      </w:r>
    </w:p>
  </w:footnote>
  <w:footnote w:type="continuationSeparator" w:id="0">
    <w:p w14:paraId="3A1F052A" w14:textId="77777777" w:rsidR="000B27B2" w:rsidRDefault="000B27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92627" w14:textId="77777777" w:rsidR="000B27B2" w:rsidRDefault="000B27B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321B9"/>
    <w:rsid w:val="000B27B2"/>
    <w:rsid w:val="000E2C48"/>
    <w:rsid w:val="001E559E"/>
    <w:rsid w:val="002B1A94"/>
    <w:rsid w:val="002C7315"/>
    <w:rsid w:val="00466DE8"/>
    <w:rsid w:val="0051615D"/>
    <w:rsid w:val="006A055D"/>
    <w:rsid w:val="006A0ABC"/>
    <w:rsid w:val="006E16BB"/>
    <w:rsid w:val="00701EEE"/>
    <w:rsid w:val="00705791"/>
    <w:rsid w:val="0076137D"/>
    <w:rsid w:val="00941D42"/>
    <w:rsid w:val="00B905DF"/>
    <w:rsid w:val="00BE701E"/>
    <w:rsid w:val="00E321B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FE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pPr>
      <w:spacing w:before="100" w:after="100"/>
      <w:outlineLvl w:val="1"/>
    </w:pPr>
    <w:rPr>
      <w:rFonts w:hAnsi="Arial Unicode MS" w:cs="Arial Unicode MS"/>
      <w:b/>
      <w:bC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character" w:customStyle="1" w:styleId="Hyperlink1">
    <w:name w:val="Hyperlink.1"/>
    <w:basedOn w:val="Link"/>
    <w:rPr>
      <w:color w:val="0000FF"/>
      <w:sz w:val="18"/>
      <w:szCs w:val="18"/>
      <w:u w:val="single" w:color="0000FF"/>
    </w:rPr>
  </w:style>
  <w:style w:type="paragraph" w:styleId="BodyText2">
    <w:name w:val="Body Text 2"/>
    <w:rPr>
      <w:rFonts w:eastAsia="Times New Roman"/>
      <w:color w:val="000000"/>
      <w:sz w:val="18"/>
      <w:szCs w:val="18"/>
      <w:u w:color="000000"/>
      <w:lang w:val="en-US"/>
    </w:rPr>
  </w:style>
  <w:style w:type="character" w:customStyle="1" w:styleId="Hyperlink2">
    <w:name w:val="Hyperlink.2"/>
    <w:basedOn w:val="Link"/>
    <w:rPr>
      <w:color w:val="0000FF"/>
      <w:u w:val="single" w:color="0000FF"/>
    </w:rPr>
  </w:style>
  <w:style w:type="paragraph" w:customStyle="1" w:styleId="Name">
    <w:name w:val="Name"/>
    <w:next w:val="FS1"/>
    <w:pPr>
      <w:tabs>
        <w:tab w:val="decimal" w:pos="6120"/>
        <w:tab w:val="decimal" w:pos="7830"/>
      </w:tabs>
      <w:ind w:left="180" w:hanging="180"/>
    </w:pPr>
    <w:rPr>
      <w:rFonts w:ascii="Arial" w:hAnsi="Arial Unicode MS" w:cs="Arial Unicode MS"/>
      <w:b/>
      <w:bCs/>
      <w:caps/>
      <w:color w:val="000000"/>
      <w:sz w:val="36"/>
      <w:szCs w:val="36"/>
      <w:u w:color="000000"/>
      <w:lang w:val="en-US"/>
    </w:rPr>
  </w:style>
  <w:style w:type="paragraph" w:customStyle="1" w:styleId="FS1">
    <w:name w:val="FS1"/>
    <w:pPr>
      <w:tabs>
        <w:tab w:val="decimal" w:pos="7280"/>
        <w:tab w:val="decimal" w:pos="9000"/>
      </w:tabs>
      <w:ind w:left="180" w:hanging="180"/>
    </w:pPr>
    <w:rPr>
      <w:rFonts w:ascii="Arial" w:hAnsi="Arial Unicode MS" w:cs="Arial Unicode MS"/>
      <w:color w:val="000000"/>
      <w:u w:color="000000"/>
      <w:lang w:val="en-US"/>
    </w:rPr>
  </w:style>
  <w:style w:type="paragraph" w:styleId="BalloonText">
    <w:name w:val="Balloon Text"/>
    <w:basedOn w:val="Normal"/>
    <w:link w:val="BalloonTextChar"/>
    <w:uiPriority w:val="99"/>
    <w:semiHidden/>
    <w:unhideWhenUsed/>
    <w:rsid w:val="00701E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EEE"/>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pPr>
      <w:spacing w:before="100" w:after="100"/>
      <w:outlineLvl w:val="1"/>
    </w:pPr>
    <w:rPr>
      <w:rFonts w:hAnsi="Arial Unicode MS" w:cs="Arial Unicode MS"/>
      <w:b/>
      <w:bC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character" w:customStyle="1" w:styleId="Hyperlink1">
    <w:name w:val="Hyperlink.1"/>
    <w:basedOn w:val="Link"/>
    <w:rPr>
      <w:color w:val="0000FF"/>
      <w:sz w:val="18"/>
      <w:szCs w:val="18"/>
      <w:u w:val="single" w:color="0000FF"/>
    </w:rPr>
  </w:style>
  <w:style w:type="paragraph" w:styleId="BodyText2">
    <w:name w:val="Body Text 2"/>
    <w:rPr>
      <w:rFonts w:eastAsia="Times New Roman"/>
      <w:color w:val="000000"/>
      <w:sz w:val="18"/>
      <w:szCs w:val="18"/>
      <w:u w:color="000000"/>
      <w:lang w:val="en-US"/>
    </w:rPr>
  </w:style>
  <w:style w:type="character" w:customStyle="1" w:styleId="Hyperlink2">
    <w:name w:val="Hyperlink.2"/>
    <w:basedOn w:val="Link"/>
    <w:rPr>
      <w:color w:val="0000FF"/>
      <w:u w:val="single" w:color="0000FF"/>
    </w:rPr>
  </w:style>
  <w:style w:type="paragraph" w:customStyle="1" w:styleId="Name">
    <w:name w:val="Name"/>
    <w:next w:val="FS1"/>
    <w:pPr>
      <w:tabs>
        <w:tab w:val="decimal" w:pos="6120"/>
        <w:tab w:val="decimal" w:pos="7830"/>
      </w:tabs>
      <w:ind w:left="180" w:hanging="180"/>
    </w:pPr>
    <w:rPr>
      <w:rFonts w:ascii="Arial" w:hAnsi="Arial Unicode MS" w:cs="Arial Unicode MS"/>
      <w:b/>
      <w:bCs/>
      <w:caps/>
      <w:color w:val="000000"/>
      <w:sz w:val="36"/>
      <w:szCs w:val="36"/>
      <w:u w:color="000000"/>
      <w:lang w:val="en-US"/>
    </w:rPr>
  </w:style>
  <w:style w:type="paragraph" w:customStyle="1" w:styleId="FS1">
    <w:name w:val="FS1"/>
    <w:pPr>
      <w:tabs>
        <w:tab w:val="decimal" w:pos="7280"/>
        <w:tab w:val="decimal" w:pos="9000"/>
      </w:tabs>
      <w:ind w:left="180" w:hanging="180"/>
    </w:pPr>
    <w:rPr>
      <w:rFonts w:ascii="Arial" w:hAnsi="Arial Unicode MS" w:cs="Arial Unicode MS"/>
      <w:color w:val="000000"/>
      <w:u w:color="000000"/>
      <w:lang w:val="en-US"/>
    </w:rPr>
  </w:style>
  <w:style w:type="paragraph" w:styleId="BalloonText">
    <w:name w:val="Balloon Text"/>
    <w:basedOn w:val="Normal"/>
    <w:link w:val="BalloonTextChar"/>
    <w:uiPriority w:val="99"/>
    <w:semiHidden/>
    <w:unhideWhenUsed/>
    <w:rsid w:val="00701E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EEE"/>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trophybingo.com" TargetMode="External"/><Relationship Id="rId9" Type="http://schemas.openxmlformats.org/officeDocument/2006/relationships/hyperlink" Target="http://www.otcmarkets.com/stock/BNGOF/quote" TargetMode="External"/><Relationship Id="rId10" Type="http://schemas.openxmlformats.org/officeDocument/2006/relationships/hyperlink" Target="mailto:ir@shoalgame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555</Words>
  <Characters>3169</Characters>
  <Application>Microsoft Macintosh Word</Application>
  <DocSecurity>0</DocSecurity>
  <Lines>26</Lines>
  <Paragraphs>7</Paragraphs>
  <ScaleCrop>false</ScaleCrop>
  <Company>Bingo.com, Ltd</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Henry Bromley</cp:lastModifiedBy>
  <cp:revision>2</cp:revision>
  <dcterms:created xsi:type="dcterms:W3CDTF">2015-01-27T01:39:00Z</dcterms:created>
  <dcterms:modified xsi:type="dcterms:W3CDTF">2015-01-27T01:39:00Z</dcterms:modified>
</cp:coreProperties>
</file>